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32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BC7DC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7315158" w14:textId="77777777" w:rsidR="00CD36CF" w:rsidRDefault="00E61DEE" w:rsidP="00CC1F3B">
      <w:pPr>
        <w:pStyle w:val="TitlePageBillPrefix"/>
      </w:pPr>
      <w:sdt>
        <w:sdtPr>
          <w:tag w:val="IntroDate"/>
          <w:id w:val="-1236936958"/>
          <w:placeholder>
            <w:docPart w:val="2ABFF6EB9D5D4FBDB6E3CA8532633D15"/>
          </w:placeholder>
          <w:text/>
        </w:sdtPr>
        <w:sdtEndPr/>
        <w:sdtContent>
          <w:r w:rsidR="00AE48A0">
            <w:t>Introduced</w:t>
          </w:r>
        </w:sdtContent>
      </w:sdt>
    </w:p>
    <w:p w14:paraId="4A0A7CF4" w14:textId="28E5263E" w:rsidR="00CD36CF" w:rsidRDefault="00E61DE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0C635F09047482EA5C8CD6CB9EEEB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14C9A1C2B3A4E74983C25FC4802181A"/>
          </w:placeholder>
          <w:text/>
        </w:sdtPr>
        <w:sdtEndPr/>
        <w:sdtContent>
          <w:r>
            <w:t>5563</w:t>
          </w:r>
        </w:sdtContent>
      </w:sdt>
    </w:p>
    <w:p w14:paraId="0F686A45" w14:textId="476EF42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BAB3EA27C52458B94CF126CFFCB0DD9"/>
          </w:placeholder>
          <w:text w:multiLine="1"/>
        </w:sdtPr>
        <w:sdtEndPr/>
        <w:sdtContent>
          <w:r w:rsidR="00DF04D9">
            <w:t>Delegates Holstein, Heckert, and G. Howell</w:t>
          </w:r>
        </w:sdtContent>
      </w:sdt>
    </w:p>
    <w:p w14:paraId="33C19370" w14:textId="5B68CEA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360C2E5C53C450EB7B65AC582F057DD"/>
          </w:placeholder>
          <w:text w:multiLine="1"/>
        </w:sdtPr>
        <w:sdtEndPr/>
        <w:sdtContent>
          <w:r w:rsidR="00E61DEE">
            <w:t>Introduced February 16, 2026; referred to the Committee on Health and Human Resources</w:t>
          </w:r>
        </w:sdtContent>
      </w:sdt>
      <w:r>
        <w:t>]</w:t>
      </w:r>
    </w:p>
    <w:p w14:paraId="2441F646" w14:textId="7E03CD15" w:rsidR="00303684" w:rsidRDefault="0000526A" w:rsidP="00CC1F3B">
      <w:pPr>
        <w:pStyle w:val="TitleSection"/>
      </w:pPr>
      <w:r>
        <w:lastRenderedPageBreak/>
        <w:t>A BILL</w:t>
      </w:r>
      <w:r w:rsidR="00DF04D9">
        <w:t xml:space="preserve"> </w:t>
      </w:r>
      <w:r w:rsidR="00DF04D9" w:rsidRPr="00DF04D9">
        <w:t>to amend the Code of West Virginia, 1931, as amended, by adding a new article, designated §16-</w:t>
      </w:r>
      <w:r w:rsidR="00DF04D9">
        <w:t>67</w:t>
      </w:r>
      <w:r w:rsidR="00DF04D9" w:rsidRPr="00DF04D9">
        <w:t>-1, §16-</w:t>
      </w:r>
      <w:r w:rsidR="00DF04D9">
        <w:t>67</w:t>
      </w:r>
      <w:r w:rsidR="00DF04D9" w:rsidRPr="00DF04D9">
        <w:t>-2, §16-</w:t>
      </w:r>
      <w:r w:rsidR="00DF04D9">
        <w:t>67</w:t>
      </w:r>
      <w:r w:rsidR="00DF04D9" w:rsidRPr="00DF04D9">
        <w:t>-</w:t>
      </w:r>
      <w:r w:rsidR="00395572">
        <w:t>3</w:t>
      </w:r>
      <w:r w:rsidR="00DF04D9" w:rsidRPr="00DF04D9">
        <w:t>, and §16-</w:t>
      </w:r>
      <w:r w:rsidR="00DF04D9">
        <w:t>67</w:t>
      </w:r>
      <w:r w:rsidR="00DF04D9" w:rsidRPr="00DF04D9">
        <w:t>-</w:t>
      </w:r>
      <w:r w:rsidR="00395572">
        <w:t>4</w:t>
      </w:r>
      <w:r w:rsidR="00DF04D9" w:rsidRPr="00DF04D9">
        <w:t>, all relating to establishing the West Virginia Timely Transplant Referral and Veteran Care Coordination Act; providing mandatory timelines for transplant referral; establishing automatic clinical referral triggers; requiring written confirmation of referral status to patients or authorized family members; and providing for annual data collection and reporting</w:t>
      </w:r>
    </w:p>
    <w:p w14:paraId="119192F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8BF64F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E9217B1" w14:textId="3FC7E8F9" w:rsidR="00DF04D9" w:rsidRPr="00A326C8" w:rsidRDefault="00DF04D9" w:rsidP="00DF04D9">
      <w:pPr>
        <w:pStyle w:val="ArticleHeading"/>
        <w:rPr>
          <w:u w:val="single"/>
        </w:rPr>
      </w:pPr>
      <w:r w:rsidRPr="00A326C8">
        <w:rPr>
          <w:u w:val="single"/>
        </w:rPr>
        <w:t>ARTICLE 67. WEST VIRGINIA TIMELY TRANSPLANT REFERRAL AND VETERAN CARE COORDINATION ACT.</w:t>
      </w:r>
    </w:p>
    <w:p w14:paraId="45A3EF24" w14:textId="774C6611" w:rsidR="00DF04D9" w:rsidRPr="00A326C8" w:rsidRDefault="00DF04D9" w:rsidP="00DF04D9">
      <w:pPr>
        <w:pStyle w:val="SectionHeading"/>
        <w:rPr>
          <w:u w:val="single"/>
        </w:rPr>
      </w:pPr>
      <w:r w:rsidRPr="00A326C8">
        <w:rPr>
          <w:u w:val="single"/>
        </w:rPr>
        <w:t>§16-67-1. Mandatory transplant referral timeline.</w:t>
      </w:r>
    </w:p>
    <w:p w14:paraId="3D1A0C13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(a) A licensed healthcare provider or healthcare facility that documents in a patient’s medical record that the patient meets medical criteria for organ transplant candidacy shall initiate referral to an appropriate transplant center within three calendar days of such documentation.</w:t>
      </w:r>
    </w:p>
    <w:p w14:paraId="2B4E0022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(b) The referral requirement set forth in subsection (a) of this section shall not apply if the provider documents in the patient’s medical record a specific medical contraindication to transplant referral.</w:t>
      </w:r>
    </w:p>
    <w:p w14:paraId="6A67D9E9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(c) Nothing in this section may be construed to alter clinical eligibility standards established by transplant centers or organ allocation policies established under federal law.</w:t>
      </w:r>
    </w:p>
    <w:p w14:paraId="35B0DDC6" w14:textId="0C7E0AB2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(d) Reporting when it was started, when the referral was accepted, and provide an annual report to the joint committee on finance.</w:t>
      </w:r>
    </w:p>
    <w:p w14:paraId="51D48B02" w14:textId="77777777" w:rsidR="00DF04D9" w:rsidRPr="00A326C8" w:rsidRDefault="00DF04D9" w:rsidP="00DF04D9">
      <w:pPr>
        <w:pStyle w:val="SectionHeading"/>
        <w:rPr>
          <w:u w:val="single"/>
        </w:rPr>
        <w:sectPr w:rsidR="00DF04D9" w:rsidRPr="00A326C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26C8">
        <w:rPr>
          <w:u w:val="single"/>
        </w:rPr>
        <w:t>§16-67-2. Automatic clinical referral triggers.</w:t>
      </w:r>
    </w:p>
    <w:p w14:paraId="64B22C25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 xml:space="preserve">(a) The Department of Health shall promulgate legislative rules pursuant to §29A-3-1 </w:t>
      </w:r>
      <w:r w:rsidRPr="00B832C2">
        <w:rPr>
          <w:i/>
          <w:iCs/>
          <w:u w:val="single"/>
        </w:rPr>
        <w:t>et seq.</w:t>
      </w:r>
      <w:r w:rsidRPr="00A326C8">
        <w:rPr>
          <w:u w:val="single"/>
        </w:rPr>
        <w:t xml:space="preserve"> of this code establishing clinical severity thresholds that require evaluation for transplant referral.</w:t>
      </w:r>
    </w:p>
    <w:p w14:paraId="22547AAF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 xml:space="preserve">(b) At a minimum, such rules shall include commonly recognized clinical scoring systems </w:t>
      </w:r>
      <w:r w:rsidRPr="00A326C8">
        <w:rPr>
          <w:u w:val="single"/>
        </w:rPr>
        <w:lastRenderedPageBreak/>
        <w:t>for end-stage organ disease, including, but not limited to, a Model for End-Stage Liver Disease (MELD) score of fifteen or greater, or equivalent evidence-based thresholds for other organs.</w:t>
      </w:r>
    </w:p>
    <w:p w14:paraId="1DF34CFD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(c) When a patient meets an established clinical severity threshold, the provider shall initiate referral to a transplant center unless the provider documents in the medical record a specific medical or clinical reason why referral is not appropriate at that time.</w:t>
      </w:r>
    </w:p>
    <w:p w14:paraId="5A3996BE" w14:textId="47FA3DA6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(d) Documentation required under this section shall be contemporaneous and included in the patient’s permanent medical record.</w:t>
      </w:r>
    </w:p>
    <w:p w14:paraId="71FD49AA" w14:textId="1EE8E1FA" w:rsidR="00DF04D9" w:rsidRPr="00A326C8" w:rsidRDefault="00DF04D9" w:rsidP="00DF04D9">
      <w:pPr>
        <w:pStyle w:val="SectionHeading"/>
        <w:rPr>
          <w:u w:val="single"/>
        </w:rPr>
        <w:sectPr w:rsidR="00DF04D9" w:rsidRPr="00A326C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26C8">
        <w:rPr>
          <w:u w:val="single"/>
        </w:rPr>
        <w:t>§16-67-</w:t>
      </w:r>
      <w:r w:rsidR="00395572">
        <w:rPr>
          <w:u w:val="single"/>
        </w:rPr>
        <w:t>3</w:t>
      </w:r>
      <w:r w:rsidRPr="00A326C8">
        <w:rPr>
          <w:u w:val="single"/>
        </w:rPr>
        <w:t>. Family transparency requirement.</w:t>
      </w:r>
    </w:p>
    <w:p w14:paraId="63457DF1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(a) Within seven calendar days of initiating a transplant referral, the healthcare provider or facility shall provide written confirmation to the patient.</w:t>
      </w:r>
    </w:p>
    <w:p w14:paraId="7BFD7CB6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(b) If the patient has executed a valid medical power of attorney, or has authorized release of medical information to a family member or legal representative, written confirmation shall also be provided to such authorized individual.</w:t>
      </w:r>
    </w:p>
    <w:p w14:paraId="46A63D1D" w14:textId="77777777" w:rsidR="00DF04D9" w:rsidRPr="00395572" w:rsidRDefault="00DF04D9" w:rsidP="00395572">
      <w:pPr>
        <w:pStyle w:val="SectionBody"/>
        <w:rPr>
          <w:u w:val="single"/>
        </w:rPr>
      </w:pPr>
      <w:r w:rsidRPr="00395572">
        <w:rPr>
          <w:u w:val="single"/>
        </w:rPr>
        <w:t>(c) Written confirmation shall include:</w:t>
      </w:r>
    </w:p>
    <w:p w14:paraId="72836A0F" w14:textId="035C2D44" w:rsidR="00DF04D9" w:rsidRPr="00395572" w:rsidRDefault="003C60E8" w:rsidP="00395572">
      <w:pPr>
        <w:pStyle w:val="SectionBody"/>
        <w:rPr>
          <w:u w:val="single"/>
        </w:rPr>
      </w:pPr>
      <w:r w:rsidRPr="00395572">
        <w:rPr>
          <w:u w:val="single"/>
        </w:rPr>
        <w:t xml:space="preserve">(1) </w:t>
      </w:r>
      <w:r w:rsidR="00DF04D9" w:rsidRPr="00395572">
        <w:rPr>
          <w:u w:val="single"/>
        </w:rPr>
        <w:t>The date the referral was initiated;</w:t>
      </w:r>
    </w:p>
    <w:p w14:paraId="3688AA33" w14:textId="7EA29A87" w:rsidR="00DF04D9" w:rsidRPr="00395572" w:rsidRDefault="003C60E8" w:rsidP="00395572">
      <w:pPr>
        <w:pStyle w:val="SectionBody"/>
        <w:rPr>
          <w:u w:val="single"/>
        </w:rPr>
      </w:pPr>
      <w:r w:rsidRPr="00395572">
        <w:rPr>
          <w:u w:val="single"/>
        </w:rPr>
        <w:t xml:space="preserve">(2) </w:t>
      </w:r>
      <w:r w:rsidR="00DF04D9" w:rsidRPr="00395572">
        <w:rPr>
          <w:u w:val="single"/>
        </w:rPr>
        <w:t>The name and contact information of the transplant center to which referral was made;</w:t>
      </w:r>
      <w:r w:rsidR="00395572" w:rsidRPr="00395572">
        <w:rPr>
          <w:u w:val="single"/>
        </w:rPr>
        <w:t xml:space="preserve"> </w:t>
      </w:r>
      <w:r w:rsidR="00DF04D9" w:rsidRPr="00395572">
        <w:rPr>
          <w:u w:val="single"/>
        </w:rPr>
        <w:t>and</w:t>
      </w:r>
    </w:p>
    <w:p w14:paraId="33F63DF8" w14:textId="5D7A3E9F" w:rsidR="00DF04D9" w:rsidRPr="00395572" w:rsidRDefault="003C60E8" w:rsidP="00395572">
      <w:pPr>
        <w:pStyle w:val="SectionBody"/>
        <w:rPr>
          <w:u w:val="single"/>
        </w:rPr>
      </w:pPr>
      <w:r w:rsidRPr="00395572">
        <w:rPr>
          <w:u w:val="single"/>
        </w:rPr>
        <w:t xml:space="preserve">(3) </w:t>
      </w:r>
      <w:r w:rsidR="00DF04D9" w:rsidRPr="00395572">
        <w:rPr>
          <w:u w:val="single"/>
        </w:rPr>
        <w:t>Contact information for a designated point of contact responsible for follow-up coordination.</w:t>
      </w:r>
    </w:p>
    <w:p w14:paraId="0307402E" w14:textId="354FF3A7" w:rsidR="00DF04D9" w:rsidRPr="00395572" w:rsidRDefault="00DF04D9" w:rsidP="00395572">
      <w:pPr>
        <w:pStyle w:val="SectionBody"/>
        <w:rPr>
          <w:u w:val="single"/>
        </w:rPr>
      </w:pPr>
      <w:r w:rsidRPr="00395572">
        <w:rPr>
          <w:u w:val="single"/>
        </w:rPr>
        <w:t>(d) Nothing in this section authorizes disclosure of medical information in violation of state or federal privacy law.</w:t>
      </w:r>
    </w:p>
    <w:p w14:paraId="030D2A83" w14:textId="2157093D" w:rsidR="00DF04D9" w:rsidRPr="00A326C8" w:rsidRDefault="00DF04D9" w:rsidP="00DF04D9">
      <w:pPr>
        <w:pStyle w:val="SectionHeading"/>
        <w:rPr>
          <w:u w:val="single"/>
        </w:rPr>
        <w:sectPr w:rsidR="00DF04D9" w:rsidRPr="00A326C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26C8">
        <w:rPr>
          <w:u w:val="single"/>
        </w:rPr>
        <w:t>§16-67-</w:t>
      </w:r>
      <w:r w:rsidR="00395572">
        <w:rPr>
          <w:u w:val="single"/>
        </w:rPr>
        <w:t>4</w:t>
      </w:r>
      <w:r w:rsidRPr="00A326C8">
        <w:rPr>
          <w:u w:val="single"/>
        </w:rPr>
        <w:t>. Data collection and annual reporting.</w:t>
      </w:r>
    </w:p>
    <w:p w14:paraId="56E9C1A2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(a) The Department of Health shall collect aggregate, de-identified data from licensed healthcare facilities regarding transplant referrals initiated pursuant to this article.</w:t>
      </w:r>
    </w:p>
    <w:p w14:paraId="60B64E06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(b) Data collected shall include, at minimum:</w:t>
      </w:r>
    </w:p>
    <w:p w14:paraId="4CDC24C7" w14:textId="38F8CBED" w:rsidR="00DF04D9" w:rsidRPr="00A326C8" w:rsidRDefault="003C60E8" w:rsidP="003C60E8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(1) </w:t>
      </w:r>
      <w:r w:rsidR="00DF04D9" w:rsidRPr="00A326C8">
        <w:rPr>
          <w:u w:val="single"/>
        </w:rPr>
        <w:t xml:space="preserve">The average time between documentation of transplant candidacy and referral </w:t>
      </w:r>
      <w:r w:rsidR="00DF04D9" w:rsidRPr="00A326C8">
        <w:rPr>
          <w:u w:val="single"/>
        </w:rPr>
        <w:lastRenderedPageBreak/>
        <w:t>initiation;</w:t>
      </w:r>
    </w:p>
    <w:p w14:paraId="347BD603" w14:textId="2809C24F" w:rsidR="00DF04D9" w:rsidRPr="00A326C8" w:rsidRDefault="003C60E8" w:rsidP="003C60E8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(2) </w:t>
      </w:r>
      <w:r w:rsidR="00DF04D9" w:rsidRPr="00A326C8">
        <w:rPr>
          <w:u w:val="single"/>
        </w:rPr>
        <w:t>The number of patients meeting automatic clinical referral thresholds;</w:t>
      </w:r>
    </w:p>
    <w:p w14:paraId="0DCE0443" w14:textId="62358E14" w:rsidR="00DF04D9" w:rsidRPr="00A326C8" w:rsidRDefault="003C60E8" w:rsidP="003C60E8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(3) </w:t>
      </w:r>
      <w:r w:rsidR="00DF04D9" w:rsidRPr="00A326C8">
        <w:rPr>
          <w:u w:val="single"/>
        </w:rPr>
        <w:t>The number of referrals initiated within the required thirty-day period; and</w:t>
      </w:r>
    </w:p>
    <w:p w14:paraId="338649A5" w14:textId="5F7EFF34" w:rsidR="00DF04D9" w:rsidRPr="00A326C8" w:rsidRDefault="003C60E8" w:rsidP="003C60E8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(4) </w:t>
      </w:r>
      <w:r w:rsidR="00DF04D9" w:rsidRPr="00A326C8">
        <w:rPr>
          <w:u w:val="single"/>
        </w:rPr>
        <w:t>Geographic data sufficient to evaluate rural disparities in referral timelines.</w:t>
      </w:r>
    </w:p>
    <w:p w14:paraId="41C40779" w14:textId="77777777" w:rsidR="00DF04D9" w:rsidRPr="00A326C8" w:rsidRDefault="00DF04D9" w:rsidP="00DF04D9">
      <w:pPr>
        <w:pStyle w:val="SectionBody"/>
        <w:rPr>
          <w:u w:val="single"/>
        </w:rPr>
      </w:pPr>
      <w:r w:rsidRPr="00A326C8">
        <w:rPr>
          <w:u w:val="single"/>
        </w:rPr>
        <w:t>(c) The Department shall submit an annual report to the Legislative Oversight Commission on Health and Human Resources Accountability no later than December 1 of each year.</w:t>
      </w:r>
    </w:p>
    <w:p w14:paraId="01915F21" w14:textId="6EE70342" w:rsidR="008736AA" w:rsidRPr="00A326C8" w:rsidRDefault="00DF04D9" w:rsidP="00CC1F3B">
      <w:pPr>
        <w:pStyle w:val="SectionBody"/>
        <w:rPr>
          <w:u w:val="single"/>
        </w:rPr>
      </w:pPr>
      <w:r w:rsidRPr="00A326C8">
        <w:rPr>
          <w:u w:val="single"/>
        </w:rPr>
        <w:t>(d) Reports required under this section shall not identify individual patients or individual healthcare providers.</w:t>
      </w:r>
    </w:p>
    <w:p w14:paraId="40FB3115" w14:textId="77777777" w:rsidR="00C33014" w:rsidRDefault="00C33014" w:rsidP="00CC1F3B">
      <w:pPr>
        <w:pStyle w:val="Note"/>
      </w:pPr>
    </w:p>
    <w:p w14:paraId="7F96C007" w14:textId="3A4A38C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326C8">
        <w:t xml:space="preserve">create the </w:t>
      </w:r>
      <w:r w:rsidR="00A326C8" w:rsidRPr="00DF04D9">
        <w:t>West Virginia Timely Transplant Referral and Veteran Care Coordination Act</w:t>
      </w:r>
      <w:r w:rsidR="00A326C8">
        <w:t>.</w:t>
      </w:r>
    </w:p>
    <w:p w14:paraId="5551CA3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F48D" w14:textId="77777777" w:rsidR="00DF04D9" w:rsidRPr="00B844FE" w:rsidRDefault="00DF04D9" w:rsidP="00B844FE">
      <w:r>
        <w:separator/>
      </w:r>
    </w:p>
  </w:endnote>
  <w:endnote w:type="continuationSeparator" w:id="0">
    <w:p w14:paraId="795DD86A" w14:textId="77777777" w:rsidR="00DF04D9" w:rsidRPr="00B844FE" w:rsidRDefault="00DF04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94A1B4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0471D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A613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85BF" w14:textId="77777777" w:rsidR="00A326C8" w:rsidRDefault="00A32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216E" w14:textId="77777777" w:rsidR="00DF04D9" w:rsidRPr="00B844FE" w:rsidRDefault="00DF04D9" w:rsidP="00B844FE">
      <w:r>
        <w:separator/>
      </w:r>
    </w:p>
  </w:footnote>
  <w:footnote w:type="continuationSeparator" w:id="0">
    <w:p w14:paraId="32CD054A" w14:textId="77777777" w:rsidR="00DF04D9" w:rsidRPr="00B844FE" w:rsidRDefault="00DF04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F67B" w14:textId="77777777" w:rsidR="002A0269" w:rsidRPr="00B844FE" w:rsidRDefault="00E61DEE">
    <w:pPr>
      <w:pStyle w:val="Header"/>
    </w:pPr>
    <w:sdt>
      <w:sdtPr>
        <w:id w:val="-684364211"/>
        <w:placeholder>
          <w:docPart w:val="E0C635F09047482EA5C8CD6CB9EEEB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0C635F09047482EA5C8CD6CB9EEEB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A16B" w14:textId="769BF3B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F04D9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04D9">
          <w:rPr>
            <w:sz w:val="22"/>
            <w:szCs w:val="22"/>
          </w:rPr>
          <w:t>2026R4249</w:t>
        </w:r>
      </w:sdtContent>
    </w:sdt>
  </w:p>
  <w:p w14:paraId="3E0E5CA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CFB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88F"/>
    <w:multiLevelType w:val="multilevel"/>
    <w:tmpl w:val="D6B6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B5A0351"/>
    <w:multiLevelType w:val="multilevel"/>
    <w:tmpl w:val="E770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963856">
    <w:abstractNumId w:val="1"/>
  </w:num>
  <w:num w:numId="2" w16cid:durableId="1354503649">
    <w:abstractNumId w:val="1"/>
  </w:num>
  <w:num w:numId="3" w16cid:durableId="564217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217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D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5572"/>
    <w:rsid w:val="003C396E"/>
    <w:rsid w:val="003C51CD"/>
    <w:rsid w:val="003C6034"/>
    <w:rsid w:val="003C60E8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50A1C"/>
    <w:rsid w:val="00980327"/>
    <w:rsid w:val="00986478"/>
    <w:rsid w:val="009B5557"/>
    <w:rsid w:val="009F1067"/>
    <w:rsid w:val="00A31E01"/>
    <w:rsid w:val="00A326C8"/>
    <w:rsid w:val="00A527AD"/>
    <w:rsid w:val="00A718CF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32C2"/>
    <w:rsid w:val="00B844FE"/>
    <w:rsid w:val="00B86B4F"/>
    <w:rsid w:val="00BA1F84"/>
    <w:rsid w:val="00BC562B"/>
    <w:rsid w:val="00C154F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79A8"/>
    <w:rsid w:val="00DE526B"/>
    <w:rsid w:val="00DF04D9"/>
    <w:rsid w:val="00DF199D"/>
    <w:rsid w:val="00E01542"/>
    <w:rsid w:val="00E365F1"/>
    <w:rsid w:val="00E61DEE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D31A6"/>
  <w15:chartTrackingRefBased/>
  <w15:docId w15:val="{D5D13AE9-CA09-4085-A1A3-A29620C0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BFF6EB9D5D4FBDB6E3CA853263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3E80-E40B-4F9A-9CA7-82DD02D88BA8}"/>
      </w:docPartPr>
      <w:docPartBody>
        <w:p w:rsidR="00E06BB1" w:rsidRDefault="00E06BB1">
          <w:pPr>
            <w:pStyle w:val="2ABFF6EB9D5D4FBDB6E3CA8532633D15"/>
          </w:pPr>
          <w:r w:rsidRPr="00B844FE">
            <w:t>Prefix Text</w:t>
          </w:r>
        </w:p>
      </w:docPartBody>
    </w:docPart>
    <w:docPart>
      <w:docPartPr>
        <w:name w:val="E0C635F09047482EA5C8CD6CB9EE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F23F-A34A-4C9A-B545-1F245E5A9FF9}"/>
      </w:docPartPr>
      <w:docPartBody>
        <w:p w:rsidR="00E06BB1" w:rsidRDefault="00E06BB1">
          <w:pPr>
            <w:pStyle w:val="E0C635F09047482EA5C8CD6CB9EEEB6E"/>
          </w:pPr>
          <w:r w:rsidRPr="00B844FE">
            <w:t>[Type here]</w:t>
          </w:r>
        </w:p>
      </w:docPartBody>
    </w:docPart>
    <w:docPart>
      <w:docPartPr>
        <w:name w:val="614C9A1C2B3A4E74983C25FC4802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DFFE-A049-4D29-AFDA-2788A22BFF87}"/>
      </w:docPartPr>
      <w:docPartBody>
        <w:p w:rsidR="00E06BB1" w:rsidRDefault="00E06BB1">
          <w:pPr>
            <w:pStyle w:val="614C9A1C2B3A4E74983C25FC4802181A"/>
          </w:pPr>
          <w:r w:rsidRPr="00B844FE">
            <w:t>Number</w:t>
          </w:r>
        </w:p>
      </w:docPartBody>
    </w:docPart>
    <w:docPart>
      <w:docPartPr>
        <w:name w:val="8BAB3EA27C52458B94CF126CFFCB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6393-F576-44C0-9019-1A96C3F6254F}"/>
      </w:docPartPr>
      <w:docPartBody>
        <w:p w:rsidR="00E06BB1" w:rsidRDefault="00E06BB1">
          <w:pPr>
            <w:pStyle w:val="8BAB3EA27C52458B94CF126CFFCB0DD9"/>
          </w:pPr>
          <w:r w:rsidRPr="00B844FE">
            <w:t>Enter Sponsors Here</w:t>
          </w:r>
        </w:p>
      </w:docPartBody>
    </w:docPart>
    <w:docPart>
      <w:docPartPr>
        <w:name w:val="2360C2E5C53C450EB7B65AC582F0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C93B-C078-4F29-A064-40A23670A6CB}"/>
      </w:docPartPr>
      <w:docPartBody>
        <w:p w:rsidR="00E06BB1" w:rsidRDefault="00E06BB1">
          <w:pPr>
            <w:pStyle w:val="2360C2E5C53C450EB7B65AC582F057D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B1"/>
    <w:rsid w:val="003C396E"/>
    <w:rsid w:val="00950A1C"/>
    <w:rsid w:val="00AB0027"/>
    <w:rsid w:val="00C154F4"/>
    <w:rsid w:val="00DD79A8"/>
    <w:rsid w:val="00E0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BFF6EB9D5D4FBDB6E3CA8532633D15">
    <w:name w:val="2ABFF6EB9D5D4FBDB6E3CA8532633D15"/>
  </w:style>
  <w:style w:type="paragraph" w:customStyle="1" w:styleId="E0C635F09047482EA5C8CD6CB9EEEB6E">
    <w:name w:val="E0C635F09047482EA5C8CD6CB9EEEB6E"/>
  </w:style>
  <w:style w:type="paragraph" w:customStyle="1" w:styleId="614C9A1C2B3A4E74983C25FC4802181A">
    <w:name w:val="614C9A1C2B3A4E74983C25FC4802181A"/>
  </w:style>
  <w:style w:type="paragraph" w:customStyle="1" w:styleId="8BAB3EA27C52458B94CF126CFFCB0DD9">
    <w:name w:val="8BAB3EA27C52458B94CF126CFFCB0DD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60C2E5C53C450EB7B65AC582F057DD">
    <w:name w:val="2360C2E5C53C450EB7B65AC582F05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2026-02-15T18:24:00Z</dcterms:created>
  <dcterms:modified xsi:type="dcterms:W3CDTF">2026-02-15T18:24:00Z</dcterms:modified>
</cp:coreProperties>
</file>